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B07B7" w14:textId="77777777" w:rsidR="00A34643" w:rsidRPr="00A34643" w:rsidRDefault="00A34643" w:rsidP="00A34643">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A34643">
        <w:rPr>
          <w:rFonts w:ascii="Lato" w:eastAsia="Times New Roman" w:hAnsi="Lato" w:cs="Times New Roman"/>
          <w:color w:val="CC3300"/>
          <w:kern w:val="36"/>
          <w:sz w:val="36"/>
          <w:szCs w:val="36"/>
          <w:lang w:eastAsia="fr-BE"/>
          <w14:ligatures w14:val="none"/>
        </w:rPr>
        <w:t>Aluminium Dunkerque coté en bourse ou… vendu</w:t>
      </w:r>
    </w:p>
    <w:p w14:paraId="562B7747" w14:textId="77777777" w:rsidR="00A34643" w:rsidRDefault="00A34643" w:rsidP="00A34643">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33FF0D49" w14:textId="6F4C1E18" w:rsidR="00A34643" w:rsidRPr="00A34643" w:rsidRDefault="00A34643" w:rsidP="00A3464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34643">
        <w:rPr>
          <w:rFonts w:ascii="Lato" w:eastAsia="Times New Roman" w:hAnsi="Lato" w:cs="Times New Roman"/>
          <w:b/>
          <w:bCs/>
          <w:color w:val="000000"/>
          <w:kern w:val="0"/>
          <w:sz w:val="23"/>
          <w:szCs w:val="23"/>
          <w:lang w:eastAsia="fr-BE"/>
          <w14:ligatures w14:val="none"/>
        </w:rPr>
        <w:t>Aluminium Dunkerque</w:t>
      </w:r>
      <w:r w:rsidRPr="00A34643">
        <w:rPr>
          <w:rFonts w:ascii="Lato" w:eastAsia="Times New Roman" w:hAnsi="Lato" w:cs="Times New Roman"/>
          <w:color w:val="000000"/>
          <w:kern w:val="0"/>
          <w:sz w:val="23"/>
          <w:szCs w:val="23"/>
          <w:lang w:eastAsia="fr-BE"/>
          <w14:ligatures w14:val="none"/>
        </w:rPr>
        <w:t>, le fleuron français de l’aluminium, pourrait être soit coté en bourse, soit vendu. Racheté il y a quatre ans auprès de </w:t>
      </w:r>
      <w:r w:rsidRPr="00A34643">
        <w:rPr>
          <w:rFonts w:ascii="Lato" w:eastAsia="Times New Roman" w:hAnsi="Lato" w:cs="Times New Roman"/>
          <w:b/>
          <w:bCs/>
          <w:color w:val="000000"/>
          <w:kern w:val="0"/>
          <w:sz w:val="23"/>
          <w:szCs w:val="23"/>
          <w:lang w:eastAsia="fr-BE"/>
          <w14:ligatures w14:val="none"/>
        </w:rPr>
        <w:t>GFG Alliance</w:t>
      </w:r>
      <w:r w:rsidRPr="00A34643">
        <w:rPr>
          <w:rFonts w:ascii="Lato" w:eastAsia="Times New Roman" w:hAnsi="Lato" w:cs="Times New Roman"/>
          <w:color w:val="000000"/>
          <w:kern w:val="0"/>
          <w:sz w:val="23"/>
          <w:szCs w:val="23"/>
          <w:lang w:eastAsia="fr-BE"/>
          <w14:ligatures w14:val="none"/>
        </w:rPr>
        <w:t xml:space="preserve">, en défaut de paiement, par la société d’investissement American </w:t>
      </w:r>
      <w:proofErr w:type="spellStart"/>
      <w:r w:rsidRPr="00A34643">
        <w:rPr>
          <w:rFonts w:ascii="Lato" w:eastAsia="Times New Roman" w:hAnsi="Lato" w:cs="Times New Roman"/>
          <w:color w:val="000000"/>
          <w:kern w:val="0"/>
          <w:sz w:val="23"/>
          <w:szCs w:val="23"/>
          <w:lang w:eastAsia="fr-BE"/>
          <w14:ligatures w14:val="none"/>
        </w:rPr>
        <w:t>Industrial</w:t>
      </w:r>
      <w:proofErr w:type="spellEnd"/>
      <w:r w:rsidRPr="00A34643">
        <w:rPr>
          <w:rFonts w:ascii="Lato" w:eastAsia="Times New Roman" w:hAnsi="Lato" w:cs="Times New Roman"/>
          <w:color w:val="000000"/>
          <w:kern w:val="0"/>
          <w:sz w:val="23"/>
          <w:szCs w:val="23"/>
          <w:lang w:eastAsia="fr-BE"/>
          <w14:ligatures w14:val="none"/>
        </w:rPr>
        <w:t xml:space="preserve"> </w:t>
      </w:r>
      <w:proofErr w:type="spellStart"/>
      <w:r w:rsidRPr="00A34643">
        <w:rPr>
          <w:rFonts w:ascii="Lato" w:eastAsia="Times New Roman" w:hAnsi="Lato" w:cs="Times New Roman"/>
          <w:color w:val="000000"/>
          <w:kern w:val="0"/>
          <w:sz w:val="23"/>
          <w:szCs w:val="23"/>
          <w:lang w:eastAsia="fr-BE"/>
          <w14:ligatures w14:val="none"/>
        </w:rPr>
        <w:t>Partners</w:t>
      </w:r>
      <w:proofErr w:type="spellEnd"/>
      <w:r w:rsidRPr="00A34643">
        <w:rPr>
          <w:rFonts w:ascii="Lato" w:eastAsia="Times New Roman" w:hAnsi="Lato" w:cs="Times New Roman"/>
          <w:color w:val="000000"/>
          <w:kern w:val="0"/>
          <w:sz w:val="23"/>
          <w:szCs w:val="23"/>
          <w:lang w:eastAsia="fr-BE"/>
          <w14:ligatures w14:val="none"/>
        </w:rPr>
        <w:t xml:space="preserve"> (AIP), cette dernière envisage aujourd’hui deux options. Les représentants des salariés ont été informés de l’intention d’AIP. Le porte-parole d’AIP France, qui n’a pas démenti l’information, n’a pas souhaité faire de commentaires.</w:t>
      </w:r>
    </w:p>
    <w:p w14:paraId="5AAD67EF" w14:textId="77777777" w:rsidR="00A34643" w:rsidRPr="00A34643" w:rsidRDefault="00A34643" w:rsidP="00A3464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34643">
        <w:rPr>
          <w:rFonts w:ascii="Lato" w:eastAsia="Times New Roman" w:hAnsi="Lato" w:cs="Times New Roman"/>
          <w:color w:val="000000"/>
          <w:kern w:val="0"/>
          <w:sz w:val="23"/>
          <w:szCs w:val="23"/>
          <w:lang w:eastAsia="fr-BE"/>
          <w14:ligatures w14:val="none"/>
        </w:rPr>
        <w:t> </w:t>
      </w:r>
    </w:p>
    <w:p w14:paraId="4979216D" w14:textId="77777777" w:rsidR="00A34643" w:rsidRPr="00A34643" w:rsidRDefault="00A34643" w:rsidP="00A3464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34643">
        <w:rPr>
          <w:rFonts w:ascii="Lato" w:eastAsia="Times New Roman" w:hAnsi="Lato" w:cs="Times New Roman"/>
          <w:color w:val="000000"/>
          <w:kern w:val="0"/>
          <w:sz w:val="23"/>
          <w:szCs w:val="23"/>
          <w:lang w:eastAsia="fr-BE"/>
          <w14:ligatures w14:val="none"/>
        </w:rPr>
        <w:t>Le syndicat CGT s’était inquiété en mai dernier d’une possible vente, après que l’usine a signé un nouveau contrat d’approvisionnement en électricité décarbonée avec EDF d’une durée de 10 ans. Ce contrat lui permet d’avoir une visibilité sur cette période, une composante positive au regard de l’incidence du coût de l’énergie sur le fonctionnement de l’usine électro-intensive. </w:t>
      </w:r>
      <w:r w:rsidRPr="00A34643">
        <w:rPr>
          <w:rFonts w:ascii="Lato" w:eastAsia="Times New Roman" w:hAnsi="Lato" w:cs="Times New Roman"/>
          <w:b/>
          <w:bCs/>
          <w:color w:val="000000"/>
          <w:kern w:val="0"/>
          <w:sz w:val="23"/>
          <w:szCs w:val="23"/>
          <w:lang w:eastAsia="fr-BE"/>
          <w14:ligatures w14:val="none"/>
        </w:rPr>
        <w:t>Aluminium Dunkerque</w:t>
      </w:r>
      <w:r w:rsidRPr="00A34643">
        <w:rPr>
          <w:rFonts w:ascii="Lato" w:eastAsia="Times New Roman" w:hAnsi="Lato" w:cs="Times New Roman"/>
          <w:color w:val="000000"/>
          <w:kern w:val="0"/>
          <w:sz w:val="23"/>
          <w:szCs w:val="23"/>
          <w:lang w:eastAsia="fr-BE"/>
          <w14:ligatures w14:val="none"/>
        </w:rPr>
        <w:t>, d’une capacité annuelle de 300 000 tonnes, consomme en électricité l’équivalent d’une ville telle que Marseille. Son CA courant avoisine les 800 millions d’euros.</w:t>
      </w:r>
    </w:p>
    <w:p w14:paraId="47043820" w14:textId="77777777" w:rsidR="00A34643" w:rsidRPr="00A34643" w:rsidRDefault="00A34643" w:rsidP="00A3464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34643">
        <w:rPr>
          <w:rFonts w:ascii="Lato" w:eastAsia="Times New Roman" w:hAnsi="Lato" w:cs="Times New Roman"/>
          <w:color w:val="000000"/>
          <w:kern w:val="0"/>
          <w:sz w:val="23"/>
          <w:szCs w:val="23"/>
          <w:lang w:eastAsia="fr-BE"/>
          <w14:ligatures w14:val="none"/>
        </w:rPr>
        <w:t>Selon l’agence Bloomberg, des offres de rachat non engageantes auraient été formulées par les sociétés </w:t>
      </w:r>
      <w:r w:rsidRPr="00A34643">
        <w:rPr>
          <w:rFonts w:ascii="Lato" w:eastAsia="Times New Roman" w:hAnsi="Lato" w:cs="Times New Roman"/>
          <w:b/>
          <w:bCs/>
          <w:color w:val="000000"/>
          <w:kern w:val="0"/>
          <w:sz w:val="23"/>
          <w:szCs w:val="23"/>
          <w:lang w:eastAsia="fr-BE"/>
          <w14:ligatures w14:val="none"/>
        </w:rPr>
        <w:t>Rio Tinto</w:t>
      </w:r>
      <w:r w:rsidRPr="00A34643">
        <w:rPr>
          <w:rFonts w:ascii="Lato" w:eastAsia="Times New Roman" w:hAnsi="Lato" w:cs="Times New Roman"/>
          <w:color w:val="000000"/>
          <w:kern w:val="0"/>
          <w:sz w:val="23"/>
          <w:szCs w:val="23"/>
          <w:lang w:eastAsia="fr-BE"/>
          <w14:ligatures w14:val="none"/>
        </w:rPr>
        <w:t>, </w:t>
      </w:r>
      <w:proofErr w:type="spellStart"/>
      <w:r w:rsidRPr="00A34643">
        <w:rPr>
          <w:rFonts w:ascii="Lato" w:eastAsia="Times New Roman" w:hAnsi="Lato" w:cs="Times New Roman"/>
          <w:b/>
          <w:bCs/>
          <w:color w:val="000000"/>
          <w:kern w:val="0"/>
          <w:sz w:val="23"/>
          <w:szCs w:val="23"/>
          <w:lang w:eastAsia="fr-BE"/>
          <w14:ligatures w14:val="none"/>
        </w:rPr>
        <w:t>Glencore</w:t>
      </w:r>
      <w:proofErr w:type="spellEnd"/>
      <w:r w:rsidRPr="00A34643">
        <w:rPr>
          <w:rFonts w:ascii="Lato" w:eastAsia="Times New Roman" w:hAnsi="Lato" w:cs="Times New Roman"/>
          <w:b/>
          <w:bCs/>
          <w:color w:val="000000"/>
          <w:kern w:val="0"/>
          <w:sz w:val="23"/>
          <w:szCs w:val="23"/>
          <w:lang w:eastAsia="fr-BE"/>
          <w14:ligatures w14:val="none"/>
        </w:rPr>
        <w:t> </w:t>
      </w:r>
      <w:r w:rsidRPr="00A34643">
        <w:rPr>
          <w:rFonts w:ascii="Lato" w:eastAsia="Times New Roman" w:hAnsi="Lato" w:cs="Times New Roman"/>
          <w:color w:val="000000"/>
          <w:kern w:val="0"/>
          <w:sz w:val="23"/>
          <w:szCs w:val="23"/>
          <w:lang w:eastAsia="fr-BE"/>
          <w14:ligatures w14:val="none"/>
        </w:rPr>
        <w:t>et </w:t>
      </w:r>
      <w:proofErr w:type="spellStart"/>
      <w:r w:rsidRPr="00A34643">
        <w:rPr>
          <w:rFonts w:ascii="Lato" w:eastAsia="Times New Roman" w:hAnsi="Lato" w:cs="Times New Roman"/>
          <w:b/>
          <w:bCs/>
          <w:color w:val="000000"/>
          <w:kern w:val="0"/>
          <w:sz w:val="23"/>
          <w:szCs w:val="23"/>
          <w:lang w:eastAsia="fr-BE"/>
          <w14:ligatures w14:val="none"/>
        </w:rPr>
        <w:t>Metlen</w:t>
      </w:r>
      <w:proofErr w:type="spellEnd"/>
      <w:r w:rsidRPr="00A34643">
        <w:rPr>
          <w:rFonts w:ascii="Lato" w:eastAsia="Times New Roman" w:hAnsi="Lato" w:cs="Times New Roman"/>
          <w:b/>
          <w:bCs/>
          <w:color w:val="000000"/>
          <w:kern w:val="0"/>
          <w:sz w:val="23"/>
          <w:szCs w:val="23"/>
          <w:lang w:eastAsia="fr-BE"/>
          <w14:ligatures w14:val="none"/>
        </w:rPr>
        <w:t xml:space="preserve"> Energy &amp; </w:t>
      </w:r>
      <w:proofErr w:type="spellStart"/>
      <w:r w:rsidRPr="00A34643">
        <w:rPr>
          <w:rFonts w:ascii="Lato" w:eastAsia="Times New Roman" w:hAnsi="Lato" w:cs="Times New Roman"/>
          <w:b/>
          <w:bCs/>
          <w:color w:val="000000"/>
          <w:kern w:val="0"/>
          <w:sz w:val="23"/>
          <w:szCs w:val="23"/>
          <w:lang w:eastAsia="fr-BE"/>
          <w14:ligatures w14:val="none"/>
        </w:rPr>
        <w:t>Metals</w:t>
      </w:r>
      <w:proofErr w:type="spellEnd"/>
      <w:r w:rsidRPr="00A34643">
        <w:rPr>
          <w:rFonts w:ascii="Lato" w:eastAsia="Times New Roman" w:hAnsi="Lato" w:cs="Times New Roman"/>
          <w:color w:val="000000"/>
          <w:kern w:val="0"/>
          <w:sz w:val="23"/>
          <w:szCs w:val="23"/>
          <w:lang w:eastAsia="fr-BE"/>
          <w14:ligatures w14:val="none"/>
        </w:rPr>
        <w:t>. La CGT ne souhaite pas le retour de </w:t>
      </w:r>
      <w:r w:rsidRPr="00A34643">
        <w:rPr>
          <w:rFonts w:ascii="Lato" w:eastAsia="Times New Roman" w:hAnsi="Lato" w:cs="Times New Roman"/>
          <w:b/>
          <w:bCs/>
          <w:color w:val="000000"/>
          <w:kern w:val="0"/>
          <w:sz w:val="23"/>
          <w:szCs w:val="23"/>
          <w:lang w:eastAsia="fr-BE"/>
          <w14:ligatures w14:val="none"/>
        </w:rPr>
        <w:t>Rio Tinto</w:t>
      </w:r>
      <w:r w:rsidRPr="00A34643">
        <w:rPr>
          <w:rFonts w:ascii="Lato" w:eastAsia="Times New Roman" w:hAnsi="Lato" w:cs="Times New Roman"/>
          <w:color w:val="000000"/>
          <w:kern w:val="0"/>
          <w:sz w:val="23"/>
          <w:szCs w:val="23"/>
          <w:lang w:eastAsia="fr-BE"/>
          <w14:ligatures w14:val="none"/>
        </w:rPr>
        <w:t>, qui a précédé </w:t>
      </w:r>
      <w:r w:rsidRPr="00A34643">
        <w:rPr>
          <w:rFonts w:ascii="Lato" w:eastAsia="Times New Roman" w:hAnsi="Lato" w:cs="Times New Roman"/>
          <w:b/>
          <w:bCs/>
          <w:color w:val="000000"/>
          <w:kern w:val="0"/>
          <w:sz w:val="23"/>
          <w:szCs w:val="23"/>
          <w:lang w:eastAsia="fr-BE"/>
          <w14:ligatures w14:val="none"/>
        </w:rPr>
        <w:t>GFG Alliance</w:t>
      </w:r>
      <w:r w:rsidRPr="00A34643">
        <w:rPr>
          <w:rFonts w:ascii="Lato" w:eastAsia="Times New Roman" w:hAnsi="Lato" w:cs="Times New Roman"/>
          <w:color w:val="000000"/>
          <w:kern w:val="0"/>
          <w:sz w:val="23"/>
          <w:szCs w:val="23"/>
          <w:lang w:eastAsia="fr-BE"/>
          <w14:ligatures w14:val="none"/>
        </w:rPr>
        <w:t>, car il n’aurait pas suffisamment investi dans l’actif. Elle souhaite, en revanche, que l’Etat, qui n’a fait aucun commentaire, y investisse.</w:t>
      </w:r>
    </w:p>
    <w:p w14:paraId="11492BC1" w14:textId="77777777" w:rsidR="00287462" w:rsidRPr="00A34643" w:rsidRDefault="00287462" w:rsidP="00A34643"/>
    <w:sectPr w:rsidR="00287462" w:rsidRPr="00A346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43"/>
    <w:rsid w:val="00287462"/>
    <w:rsid w:val="005E26F6"/>
    <w:rsid w:val="00A3464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1859"/>
  <w15:chartTrackingRefBased/>
  <w15:docId w15:val="{B78C3FCE-18C5-4B72-B0E3-7D515008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34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34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3464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3464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3464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346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346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346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346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464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3464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3464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3464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3464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346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346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346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34643"/>
    <w:rPr>
      <w:rFonts w:eastAsiaTheme="majorEastAsia" w:cstheme="majorBidi"/>
      <w:color w:val="272727" w:themeColor="text1" w:themeTint="D8"/>
    </w:rPr>
  </w:style>
  <w:style w:type="paragraph" w:styleId="Titre">
    <w:name w:val="Title"/>
    <w:basedOn w:val="Normal"/>
    <w:next w:val="Normal"/>
    <w:link w:val="TitreCar"/>
    <w:uiPriority w:val="10"/>
    <w:qFormat/>
    <w:rsid w:val="00A34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346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346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346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34643"/>
    <w:pPr>
      <w:spacing w:before="160"/>
      <w:jc w:val="center"/>
    </w:pPr>
    <w:rPr>
      <w:i/>
      <w:iCs/>
      <w:color w:val="404040" w:themeColor="text1" w:themeTint="BF"/>
    </w:rPr>
  </w:style>
  <w:style w:type="character" w:customStyle="1" w:styleId="CitationCar">
    <w:name w:val="Citation Car"/>
    <w:basedOn w:val="Policepardfaut"/>
    <w:link w:val="Citation"/>
    <w:uiPriority w:val="29"/>
    <w:rsid w:val="00A34643"/>
    <w:rPr>
      <w:i/>
      <w:iCs/>
      <w:color w:val="404040" w:themeColor="text1" w:themeTint="BF"/>
    </w:rPr>
  </w:style>
  <w:style w:type="paragraph" w:styleId="Paragraphedeliste">
    <w:name w:val="List Paragraph"/>
    <w:basedOn w:val="Normal"/>
    <w:uiPriority w:val="34"/>
    <w:qFormat/>
    <w:rsid w:val="00A34643"/>
    <w:pPr>
      <w:ind w:left="720"/>
      <w:contextualSpacing/>
    </w:pPr>
  </w:style>
  <w:style w:type="character" w:styleId="Accentuationintense">
    <w:name w:val="Intense Emphasis"/>
    <w:basedOn w:val="Policepardfaut"/>
    <w:uiPriority w:val="21"/>
    <w:qFormat/>
    <w:rsid w:val="00A34643"/>
    <w:rPr>
      <w:i/>
      <w:iCs/>
      <w:color w:val="0F4761" w:themeColor="accent1" w:themeShade="BF"/>
    </w:rPr>
  </w:style>
  <w:style w:type="paragraph" w:styleId="Citationintense">
    <w:name w:val="Intense Quote"/>
    <w:basedOn w:val="Normal"/>
    <w:next w:val="Normal"/>
    <w:link w:val="CitationintenseCar"/>
    <w:uiPriority w:val="30"/>
    <w:qFormat/>
    <w:rsid w:val="00A34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34643"/>
    <w:rPr>
      <w:i/>
      <w:iCs/>
      <w:color w:val="0F4761" w:themeColor="accent1" w:themeShade="BF"/>
    </w:rPr>
  </w:style>
  <w:style w:type="character" w:styleId="Rfrenceintense">
    <w:name w:val="Intense Reference"/>
    <w:basedOn w:val="Policepardfaut"/>
    <w:uiPriority w:val="32"/>
    <w:qFormat/>
    <w:rsid w:val="00A346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1226</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2025-11-24T13:38:00Z</dcterms:created>
  <dcterms:modified xsi:type="dcterms:W3CDTF">2025-11-24T13:39:00Z</dcterms:modified>
</cp:coreProperties>
</file>